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00"/>
        <w:gridCol w:w="9158"/>
      </w:tblGrid>
      <w:tr>
        <w:tc>
          <w:tcPr>
            <w:tcW w:type="dxa" w:w="20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До 1 июля 2027 г. разрешен выпуск в обращение и обращение на территории РФ автомобильного бензина и дизельного топлива пониженных экологических классов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bookmarkStart w:id="1" w:name="_GoBack"/>
      <w:bookmarkEnd w:id="1"/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Постановлением Правительства РФ от 05.08.2026 N 976 "О реализации мер, предусмотренных Указом Президента Российской Федерации от 24 июля 2026 г. N 509 "О некоторых мерах по повышению надежности топливообеспечения в Российской Федерации"</w:t>
      </w:r>
      <w:r>
        <w:rPr>
          <w:rFonts w:ascii="Times New Roman" w:hAnsi="Times New Roman"/>
          <w:b w:val="0"/>
          <w:sz w:val="28"/>
        </w:rPr>
        <w:t>до 1 июля 2027 г. разрешен выпуск в обращение и обращение на территории РФ автомобильного бензина и дизельного топлива пониженных экологических классов.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Речь идет об автомобильном бензине экологических классов К3, К4, в том числе с объемной долей метанола не более 3 процентов, К2 и К5 и дизельном топливе экологических классов К2, К3, К4 и К5, обращение которых допускается без учета требований пункта 4.1 статьи 4 (в части соответствия автомобильного бензина экологических классов К3 и К4 нормам в отношении объемной доли метанола) и статьи 7 технического регламента Таможенного союза "О требованиях к автомобильному и авиационному бензину, дизельному и судовому топливу, топливу для реактивных двигателей и мазуту" (ТР ТС 013/2011).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Определены особенности ввоза, выпуска в обращение и обращение указанных видов топлива.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Признается утратившим силу Постановление Правительства РФ от 2 июля 2026 г. N 819 "О реализации мер, предусмотренных Указом Президента Российской Федерации от 12 октября 2025 г. N 725 "О некоторых мерах по повышению надежности топливообеспечения в Российской Федерации".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Настоящее Постановление вступает в силу со дня его официального опубликования.</w:t>
      </w: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br/>
      </w:r>
    </w:p>
    <w:p w14:paraId="0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0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2026-08-13T07:51:20Z</dcterms:modified>
</cp:coreProperties>
</file>